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val="0"/>
        <w:pageBreakBefore w:val="0"/>
      </w:pPr>
      <w:r>
        <w:rPr>
          <w:color w:val="000000"/>
        </w:rPr>
        <w:t>UT Tyler Institute for Sterile Compounding and Advanced Therapeutics</w:t>
      </w:r>
    </w:p>
    <w:p>
      <w:pPr>
        <w:pStyle w:val="Meta"/>
        <w:keepLines w:val="0"/>
        <w:pageBreakBefore w:val="0"/>
      </w:pPr>
      <w:r>
        <w:t>Equipment partnership prospectus  |  16 October 2026  |  Concept for manufacturer discussion</w:t>
      </w:r>
    </w:p>
    <w:p>
      <w:pPr>
        <w:keepLines w:val="0"/>
        <w:pageBreakBefore w:val="0"/>
      </w:pPr>
      <w:r>
        <w:t>UT Tyler is planning a 25-station teaching lab, a functional cleanroom suite, and studios that extend advanced compounding education to practitioners. The teaching lab calls for individual four-foot horizontal laminar airflow workbenches (LAFWs) plus an instructor unit. The suite calls for three six-foot LAFWs and three biological safety cabinets (BSCs) in separate nonhazardous and hazardous rooms. This manufacturer partnership concept is subject to university design, advancement, procurement, and approval.</w:t>
      </w:r>
    </w:p>
    <w:p>
      <w:pPr>
        <w:pStyle w:val="Heading1"/>
        <w:keepNext/>
        <w:keepLines w:val="0"/>
        <w:pageBreakBefore w:val="0"/>
      </w:pPr>
      <w:r>
        <w:rPr>
          <w:color w:val="000000"/>
        </w:rPr>
        <w:t>The teaching opportunity</w:t>
      </w:r>
    </w:p>
    <w:p>
      <w:pPr>
        <w:keepLines w:val="0"/>
        <w:pageBreakBefore w:val="0"/>
      </w:pPr>
      <w:r>
        <w:t>The current first-year pharmacy class exceeds 60 students. Twenty-five stations give each learner a dedicated cabinet; a class of more than 60 requires at least three rotations for one exercise. Advanced programs for practicing pharmacists and technicians would use the cleanroom, while studios support live and recorded demonstrations, remote preparation, and debriefing. Annual practitioner reach is not yet projected. [1]</w:t>
      </w:r>
    </w:p>
    <w:p>
      <w:pPr>
        <w:pStyle w:val="Heading1"/>
        <w:keepNext/>
        <w:keepLines w:val="0"/>
        <w:pageBreakBefore w:val="0"/>
      </w:pPr>
      <w:r>
        <w:rPr>
          <w:color w:val="000000"/>
        </w:rPr>
        <w:t>Equipment partnership request</w:t>
      </w:r>
    </w:p>
    <w:tbl>
      <w:tblPr>
        <w:tblW w:type="auto" w:w="0"/>
        <w:jc w:val="center"/>
        <w:tblLayout w:type="fixed"/>
        <w:tblLook w:firstColumn="1" w:firstRow="1" w:lastColumn="0" w:lastRow="0" w:noHBand="0" w:noVBand="1" w:val="04A0"/>
      </w:tblPr>
      <w:tblGrid>
        <w:gridCol w:w="2362"/>
        <w:gridCol w:w="7430"/>
      </w:tblGrid>
      <w:tr>
        <w:trPr>
          <w:cantSplit/>
          <w:tblHeader/>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line="254" w:lineRule="auto"/>
            </w:pPr>
            <w:r>
              <w:rPr>
                <w:rFonts w:ascii="Aptos" w:hAnsi="Aptos"/>
                <w:b/>
                <w:color w:val="000000"/>
                <w:sz w:val="16"/>
              </w:rPr>
              <w:t>Core contribution</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line="254" w:lineRule="auto"/>
            </w:pPr>
            <w:r>
              <w:rPr>
                <w:rFonts w:ascii="Aptos" w:hAnsi="Aptos"/>
                <w:b/>
                <w:color w:val="000000"/>
                <w:sz w:val="16"/>
              </w:rPr>
              <w:t>Please price or propose separately</w:t>
            </w:r>
          </w:p>
        </w:tc>
      </w:tr>
      <w:tr>
        <w:trPr>
          <w:cantSplit/>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Teaching lab package</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25 matched four-foot horizontal LAFWs plus one instructor unit; stands, IV bars, task lighting, cleanable cable routing, and a two-unit teaching mockup.</w:t>
            </w:r>
          </w:p>
        </w:tc>
      </w:tr>
      <w:tr>
        <w:trPr>
          <w:cantSplit/>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line="254" w:lineRule="auto"/>
            </w:pPr>
            <w:r>
              <w:rPr>
                <w:rFonts w:ascii="Aptos" w:hAnsi="Aptos"/>
                <w:b w:val="0"/>
                <w:color w:val="000000"/>
                <w:sz w:val="16"/>
              </w:rPr>
              <w:t>Cleanroom package</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line="254" w:lineRule="auto"/>
            </w:pPr>
            <w:r>
              <w:rPr>
                <w:rFonts w:ascii="Aptos" w:hAnsi="Aptos"/>
                <w:b w:val="0"/>
                <w:color w:val="000000"/>
                <w:sz w:val="16"/>
              </w:rPr>
              <w:t>Three six-foot LAFWs for the nonhazardous buffer room and three sterile-compounding BSCs for a separate hazardous buffer room. Cabinet type, BSC width, and exhaust interface remain design decisions.</w:t>
            </w:r>
          </w:p>
        </w:tc>
      </w:tr>
      <w:tr>
        <w:trPr>
          <w:cantSplit/>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Studio integration</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Optional cleanable camera views, display and workflow interfaces, live demonstration support, and technical instruction for recorded or streamed education; price apart from cabinets.</w:t>
            </w:r>
          </w:p>
        </w:tc>
      </w:tr>
      <w:tr>
        <w:trPr>
          <w:cantSplit/>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line="254" w:lineRule="auto"/>
            </w:pPr>
            <w:r>
              <w:rPr>
                <w:rFonts w:ascii="Aptos" w:hAnsi="Aptos"/>
                <w:b w:val="0"/>
                <w:color w:val="000000"/>
                <w:sz w:val="16"/>
              </w:rPr>
              <w:t>Delivery and validation</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line="254" w:lineRule="auto"/>
            </w:pPr>
            <w:r>
              <w:rPr>
                <w:rFonts w:ascii="Aptos" w:hAnsi="Aptos"/>
                <w:b w:val="0"/>
                <w:color w:val="000000"/>
                <w:sz w:val="16"/>
              </w:rPr>
              <w:t>Freight, installation, commissioning, initial cabinet certification, documentation, and faculty orientation for each package.</w:t>
            </w:r>
          </w:p>
        </w:tc>
      </w:tr>
      <w:tr>
        <w:trPr>
          <w:cantSplit/>
        </w:trPr>
        <w:tc>
          <w:tcPr>
            <w:tcW w:type="dxa" w:w="2362"/>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Five-year support</w:t>
            </w:r>
          </w:p>
        </w:tc>
        <w:tc>
          <w:tcPr>
            <w:tcW w:type="dxa" w:w="7430"/>
            <w:vAlign w:val="center"/>
            <w:tcMar>
              <w:top w:w="85" w:type="dxa"/>
              <w:start w:w="85" w:type="dxa"/>
              <w:bottom w:w="85" w:type="dxa"/>
              <w:end w:w="85" w:type="dxa"/>
            </w:tcMa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line="254" w:lineRule="auto"/>
            </w:pPr>
            <w:r>
              <w:rPr>
                <w:rFonts w:ascii="Aptos" w:hAnsi="Aptos"/>
                <w:b w:val="0"/>
                <w:color w:val="000000"/>
                <w:sz w:val="16"/>
              </w:rPr>
              <w:t>Warranty, preventive maintenance, recertification support, filter allowance, service response, spare-parts plan, and refresh or replacement options.</w:t>
            </w:r>
          </w:p>
        </w:tc>
      </w:tr>
    </w:tbl>
    <w:p>
      <w:pPr>
        <w:keepLines w:val="0"/>
        <w:pageBreakBefore w:val="0"/>
        <w:spacing w:after="0"/>
      </w:pPr>
    </w:p>
    <w:p>
      <w:pPr>
        <w:keepLines w:val="0"/>
        <w:pageBreakBefore w:val="0"/>
      </w:pPr>
      <w:r>
        <w:t>Manufacturers may propose for either cabinet package and any relevant studio integration. Offer a full gift, blended gift and purchase, or competitive purchase with separately funded educational support. Itemize five-year costs.</w:t>
      </w:r>
    </w:p>
    <w:p>
      <w:pPr>
        <w:pStyle w:val="Heading1"/>
        <w:keepNext/>
        <w:keepLines w:val="0"/>
        <w:pageBreakBefore w:val="0"/>
      </w:pPr>
      <w:r>
        <w:rPr>
          <w:color w:val="000000"/>
        </w:rPr>
        <w:t>Why a manufacturer would participate</w:t>
      </w:r>
    </w:p>
    <w:p>
      <w:pPr>
        <w:keepLines w:val="0"/>
        <w:pageBreakBefore w:val="0"/>
      </w:pPr>
      <w:r>
        <w:t>Students and practitioners would use the equipment in foundational and advanced programs. Studios extend demonstrations and preparation beyond campus; supervised cleanroom assessment remains hands-on. Recurring hospital partnerships, professional education and digital licenses support the sustainability goal. Research, recognition and demonstrations require separate agreements and independent academic control.</w:t>
      </w:r>
    </w:p>
    <w:p>
      <w:pPr>
        <w:keepLines w:val="0"/>
        <w:pageBreakBefore w:val="0"/>
      </w:pPr>
      <w:r/>
    </w:p>
    <w:p>
      <w:pPr>
        <w:pStyle w:val="Heading1"/>
        <w:keepNext/>
        <w:keepLines w:val="0"/>
        <w:pageBreakBefore w:val="0"/>
      </w:pPr>
      <w:r>
        <w:rPr>
          <w:color w:val="000000"/>
        </w:rPr>
        <w:t>Partnership structure and response</w:t>
      </w:r>
    </w:p>
    <w:p>
      <w:pPr>
        <w:keepLines w:val="0"/>
        <w:pageBreakBefore w:val="0"/>
      </w:pPr>
      <w:r>
        <w:rPr>
          <w:b/>
        </w:rPr>
        <w:t xml:space="preserve">Educational control. </w:t>
      </w:r>
      <w:r>
        <w:t>UT Tyler faculty set the curriculum, choose competency measures, and report results independently. Equipment placement carries no product endorsement, purchasing commitment, exclusive access to students, or control of assessment.</w:t>
      </w:r>
    </w:p>
    <w:p>
      <w:pPr>
        <w:keepLines w:val="0"/>
        <w:pageBreakBefore w:val="0"/>
      </w:pPr>
      <w:r>
        <w:rPr>
          <w:b/>
        </w:rPr>
        <w:t xml:space="preserve">One teaching platform. </w:t>
      </w:r>
      <w:r>
        <w:t>The 25 assessed stations should be materially consistent to support fair assessment and simple maintenance. A small comparison or innovation area can show alternative manufacturers and newer technologies.</w:t>
      </w:r>
    </w:p>
    <w:p>
      <w:pPr>
        <w:keepLines w:val="0"/>
        <w:pageBreakBefore w:val="0"/>
      </w:pPr>
      <w:r>
        <w:rPr>
          <w:b/>
        </w:rPr>
        <w:t xml:space="preserve">Cleanroom scope. </w:t>
      </w:r>
      <w:r>
        <w:t>The six suite cabinets are additional to 26 teaching units. Sterile hazardous-drug BSCs need engineered external exhaust. Construction, room certification, and any patient-use operation need separate budgets and approvals. [1, 6]</w:t>
      </w:r>
    </w:p>
    <w:p>
      <w:pPr>
        <w:keepLines w:val="0"/>
        <w:pageBreakBefore w:val="0"/>
      </w:pPr>
      <w:r>
        <w:rPr>
          <w:b/>
        </w:rPr>
        <w:t xml:space="preserve">Recognition. </w:t>
      </w:r>
      <w:r>
        <w:t>Potential recognition could include an approved lab name, a restrained plaque, and acknowledgment in public program materials. Naming, logos, and website recognition are subject to UT System policy and institutional approval. [2]</w:t>
      </w:r>
    </w:p>
    <w:p>
      <w:pPr>
        <w:keepLines w:val="0"/>
        <w:pageBreakBefore w:val="0"/>
      </w:pPr>
      <w:r>
        <w:rPr>
          <w:b/>
        </w:rPr>
        <w:t xml:space="preserve">Transaction route. </w:t>
      </w:r>
      <w:r>
        <w:t>UT System policy treats an irrevocable transfer of equipment as a potential gift in kind; educational discounts, licenses, loans, and exchange transactions have different treatment. Advancement, Procurement, and counsel should determine the route before any commitment. [2]</w:t>
      </w:r>
    </w:p>
    <w:p>
      <w:pPr>
        <w:pStyle w:val="Heading1"/>
        <w:keepNext/>
        <w:keepLines w:val="0"/>
        <w:pageBreakBefore w:val="0"/>
      </w:pPr>
      <w:r>
        <w:rPr>
          <w:color w:val="000000"/>
        </w:rPr>
        <w:t>Requested manufacturer response</w:t>
      </w:r>
    </w:p>
    <w:p>
      <w:pPr>
        <w:keepLines w:val="0"/>
        <w:pageBreakBefore w:val="0"/>
      </w:pPr>
      <w:r>
        <w:t>Please submit a nonbinding concept response addressing the following items. The college can issue a formal performance specification and procurement request after a room mockup and internal review.</w:t>
      </w:r>
    </w:p>
    <w:p>
      <w:pPr>
        <w:pStyle w:val="ListBullet"/>
        <w:keepLines w:val="0"/>
        <w:pageBreakBefore w:val="0"/>
        <w:spacing w:after="60"/>
      </w:pPr>
      <w:r>
        <w:t>Exact four-foot model and configuration; outside and usable work dimensions; footprint and service clearances; power, heat, sound, filter access, alarms, and U.S. service coverage.</w:t>
      </w:r>
    </w:p>
    <w:p>
      <w:pPr>
        <w:pStyle w:val="ListBullet"/>
        <w:keepLines w:val="0"/>
        <w:pageBreakBefore w:val="0"/>
        <w:spacing w:after="60"/>
      </w:pPr>
      <w:r>
        <w:t>Separate itemized pricing for 25 student units plus instructor unit and for three six-foot LAFWs plus three BSCs; include accessories, freight, installation, certification, warranty, and five-year support.</w:t>
      </w:r>
    </w:p>
    <w:p>
      <w:pPr>
        <w:pStyle w:val="ListBullet"/>
        <w:keepLines w:val="0"/>
        <w:pageBreakBefore w:val="0"/>
        <w:spacing w:after="60"/>
      </w:pPr>
      <w:r>
        <w:t>The proposed equipment contribution or educational discount, how ownership transfers, and any requested recognition or demonstrator access.</w:t>
      </w:r>
    </w:p>
    <w:p>
      <w:pPr>
        <w:pStyle w:val="ListBullet"/>
        <w:keepLines w:val="0"/>
        <w:pageBreakBefore w:val="0"/>
        <w:spacing w:after="60"/>
      </w:pPr>
      <w:r>
        <w:t>Availability of two teaching units for an exercise mockup, plus CAD/BIM files, cleanroom service and exhaust requirements, and a technical contact for architectural and HVAC coordination.</w:t>
      </w:r>
    </w:p>
    <w:p>
      <w:pPr>
        <w:pStyle w:val="ListBullet"/>
        <w:keepLines w:val="0"/>
        <w:pageBreakBefore w:val="0"/>
        <w:spacing w:after="60"/>
      </w:pPr>
      <w:r>
        <w:t>Options for cleanable studio camera interfaces, practitioner education, or research, budgeted separately from cabinets.</w:t>
      </w:r>
    </w:p>
    <w:p>
      <w:pPr>
        <w:pStyle w:val="Heading1"/>
        <w:keepNext/>
        <w:keepLines w:val="0"/>
        <w:pageBreakBefore w:val="0"/>
      </w:pPr>
      <w:r>
        <w:rPr>
          <w:color w:val="000000"/>
        </w:rPr>
        <w:t>Relevant precedents</w:t>
      </w:r>
    </w:p>
    <w:p>
      <w:pPr>
        <w:keepLines w:val="0"/>
        <w:pageBreakBefore w:val="0"/>
      </w:pPr>
      <w:r>
        <w:t>BD installed technology in the University of Mississippi pharmacy skills lab. [3] A Stonegate Pharmacy gift upgraded the University of the Incarnate Word sterile lab with five hoods and video at each. [4] Glenmark contributed equipment and materials to South Piedmont’s aseptic training facility. [5] These precedents do not establish a market value for UT Tyler’s larger program.</w:t>
      </w:r>
    </w:p>
    <w:p>
      <w:pPr>
        <w:pStyle w:val="Heading1"/>
        <w:keepNext/>
        <w:keepLines w:val="0"/>
        <w:pageBreakBefore w:val="0"/>
      </w:pPr>
      <w:r>
        <w:rPr>
          <w:color w:val="000000"/>
        </w:rPr>
        <w:t>Immediate next step</w:t>
      </w:r>
    </w:p>
    <w:p>
      <w:pPr>
        <w:keepLines w:val="0"/>
        <w:pageBreakBefore w:val="0"/>
      </w:pPr>
      <w:r>
        <w:t>Mock up teaching exercises, then issue a common performance brief for the teaching and cleanroom packages. Advancement and Procurement can compare gift, discount, and purchase routes against five-year costs. No manufacturer has been selected.</w:t>
      </w:r>
    </w:p>
    <w:p>
      <w:pPr>
        <w:pStyle w:val="Heading1"/>
        <w:keepNext/>
        <w:keepLines w:val="0"/>
        <w:pageBreakBefore w:val="0"/>
      </w:pPr>
      <w:r>
        <w:rPr>
          <w:color w:val="000000"/>
        </w:rPr>
        <w:t>Sources and planning basis</w:t>
      </w:r>
    </w:p>
    <w:p>
      <w:pPr>
        <w:pStyle w:val="Small"/>
        <w:keepLines w:val="0"/>
        <w:pageBreakBefore w:val="0"/>
      </w:pPr>
      <w:r>
        <w:t>[1] UT Tyler Center Facility and Equipment Planning Brief, revised 16 October 2026, internal planning document.</w:t>
      </w:r>
    </w:p>
    <w:p>
      <w:pPr>
        <w:pStyle w:val="Small"/>
        <w:keepLines w:val="0"/>
        <w:pageBreakBefore w:val="0"/>
      </w:pPr>
      <w:hyperlink r:id="rId9">
        <w:r>
          <w:rPr>
            <w:color w:val="245A78"/>
          </w:rPr>
          <w:t>[2] UT System, UTS 138 Gift Acceptance Procedures</w:t>
        </w:r>
      </w:hyperlink>
    </w:p>
    <w:p>
      <w:pPr>
        <w:pStyle w:val="Small"/>
        <w:keepLines w:val="0"/>
        <w:pageBreakBefore w:val="0"/>
      </w:pPr>
      <w:hyperlink r:id="rId10">
        <w:r>
          <w:rPr>
            <w:color w:val="245A78"/>
          </w:rPr>
          <w:t>[3] University of Mississippi, BD pharmacy school partnership, 9 January 2024</w:t>
        </w:r>
      </w:hyperlink>
    </w:p>
    <w:p>
      <w:pPr>
        <w:pStyle w:val="Small"/>
        <w:keepLines w:val="0"/>
        <w:pageBreakBefore w:val="0"/>
      </w:pPr>
      <w:hyperlink r:id="rId11">
        <w:r>
          <w:rPr>
            <w:color w:val="245A78"/>
          </w:rPr>
          <w:t>[4] University of the Incarnate Word, sterile lab gift, 15 April 2025</w:t>
        </w:r>
      </w:hyperlink>
    </w:p>
    <w:p>
      <w:pPr>
        <w:pStyle w:val="Small"/>
        <w:keepLines w:val="0"/>
        <w:pageBreakBefore w:val="0"/>
      </w:pPr>
      <w:hyperlink r:id="rId12">
        <w:r>
          <w:rPr>
            <w:color w:val="245A78"/>
          </w:rPr>
          <w:t>[5] South Piedmont Community College, Glenmark aseptic training gift, 5 May 2025</w:t>
        </w:r>
      </w:hyperlink>
    </w:p>
    <w:p>
      <w:pPr>
        <w:pStyle w:val="Small"/>
        <w:keepLines w:val="0"/>
        <w:pageBreakBefore w:val="0"/>
      </w:pPr>
      <w:hyperlink r:id="rId13">
        <w:r>
          <w:rPr>
            <w:color w:val="245A78"/>
          </w:rPr>
          <w:t>[6] USP, General Chapter &lt;800&gt; FAQs, January 2026</w:t>
        </w:r>
      </w:hyperlink>
    </w:p>
    <w:sectPr w:rsidR="00FC693F" w:rsidRPr="0006063C" w:rsidSect="00034616">
      <w:footerReference w:type="default" r:id="rId14"/>
      <w:headerReference w:type="default" r:id="rId15"/>
      <w:pgSz w:w="12240" w:h="15840"/>
      <w:pgMar w:top="1037" w:right="1181" w:bottom="979" w:left="1181" w:header="475"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5"/>
      </w:rPr>
      <w:t>Planning concept  •  UT Tyler College of Pharmacy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7" w:lineRule="auto"/>
    </w:pPr>
    <w:rPr>
      <w:rFonts w:ascii="Aptos" w:hAnsi="Aptos"/>
      <w:color w:val="1E25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ptos Display" w:hAnsi="Aptos Display"/>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ptos Display" w:hAnsi="Aptos Display"/>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220"/>
    </w:pPr>
    <w:rPr>
      <w:rFonts w:ascii="Aptos" w:hAnsi="Aptos"/>
      <w:color w:val="48535D"/>
      <w:sz w:val="16"/>
    </w:rPr>
  </w:style>
  <w:style w:type="paragraph" w:customStyle="1" w:styleId="Small">
    <w:name w:val="Small"/>
    <w:pPr>
      <w:spacing w:after="60" w:line="254" w:lineRule="auto"/>
    </w:pPr>
    <w:rPr>
      <w:rFonts w:ascii="Aptos" w:hAnsi="Aptos"/>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utsystem.edu/sites/policy-library/policies/uts-138-gift-acceptance-procedures" TargetMode="External"/><Relationship Id="rId10" Type="http://schemas.openxmlformats.org/officeDocument/2006/relationships/hyperlink" Target="https://olemiss.edu/news/2024/01/pharmacy-school-partners-with-global-tech-giant-bd/index.html" TargetMode="External"/><Relationship Id="rId11" Type="http://schemas.openxmlformats.org/officeDocument/2006/relationships/hyperlink" Target="https://www.uiw.edu/news/2025/04/uiw-receives-leadership-gift-for-feik-school-of-pharmacy.html" TargetMode="External"/><Relationship Id="rId12" Type="http://schemas.openxmlformats.org/officeDocument/2006/relationships/hyperlink" Target="https://spcc.edu/about/news/glenmark-pharmaceuticals-donates-more-than-1-3-million-in-equipment-to-support-south-piedmont/" TargetMode="External"/><Relationship Id="rId13" Type="http://schemas.openxmlformats.org/officeDocument/2006/relationships/hyperlink" Target="https://pages.usp.org/rs/711-SXF-172/images/USP_HQS_800_FAQs_January2026.pdf?version=0" TargetMode="External"/><Relationship Id="rId14" Type="http://schemas.openxmlformats.org/officeDocument/2006/relationships/footer" Target="footer1.xml"/><Relationship Id="rId1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 Tyler Institute for Sterile Compounding and Advanced Therapeutics</dc:title>
  <dc:subject>Proposed institute planning materials revised 16 October 2026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